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3930B9">
      <w:pPr>
        <w:pStyle w:val="3"/>
        <w:spacing w:before="30"/>
        <w:ind w:left="0"/>
        <w:outlineLvl w:val="0"/>
        <w:rPr>
          <w:rFonts w:hint="eastAsia" w:ascii="黑体" w:hAnsi="黑体" w:eastAsia="黑体" w:cs="黑体"/>
          <w:sz w:val="28"/>
          <w:szCs w:val="28"/>
          <w:lang w:bidi="zh-CN"/>
        </w:rPr>
      </w:pPr>
      <w:bookmarkStart w:id="0" w:name="_Toc2141"/>
      <w:r>
        <w:rPr>
          <w:rFonts w:hint="eastAsia" w:ascii="黑体" w:hAnsi="黑体" w:eastAsia="黑体" w:cs="黑体"/>
          <w:sz w:val="28"/>
          <w:szCs w:val="28"/>
          <w:lang w:bidi="zh-CN"/>
        </w:rPr>
        <w:t>附件</w:t>
      </w:r>
      <w:bookmarkEnd w:id="0"/>
      <w:r>
        <w:rPr>
          <w:rFonts w:hint="eastAsia" w:ascii="黑体" w:hAnsi="黑体" w:eastAsia="黑体" w:cs="黑体"/>
          <w:sz w:val="28"/>
          <w:szCs w:val="28"/>
          <w:lang w:val="en-US" w:bidi="zh-CN"/>
        </w:rPr>
        <w:t>4</w:t>
      </w:r>
    </w:p>
    <w:p w14:paraId="11313EB2">
      <w:pPr>
        <w:pStyle w:val="3"/>
        <w:ind w:left="0"/>
        <w:jc w:val="center"/>
        <w:outlineLvl w:val="0"/>
        <w:rPr>
          <w:rFonts w:hint="eastAsia"/>
          <w:sz w:val="30"/>
          <w:szCs w:val="30"/>
        </w:rPr>
      </w:pPr>
      <w:bookmarkStart w:id="1" w:name="_Toc17255"/>
      <w:r>
        <w:rPr>
          <w:rStyle w:val="8"/>
          <w:rFonts w:hint="eastAsia" w:ascii="华文中宋" w:hAnsi="华文中宋" w:eastAsia="华文中宋" w:cs="华文中宋"/>
          <w:sz w:val="32"/>
          <w:szCs w:val="32"/>
        </w:rPr>
        <w:t>意向金约定</w:t>
      </w:r>
      <w:r>
        <w:rPr>
          <w:rStyle w:val="8"/>
          <w:rFonts w:ascii="华文中宋" w:hAnsi="华文中宋" w:eastAsia="华文中宋" w:cs="华文中宋"/>
          <w:sz w:val="32"/>
          <w:szCs w:val="32"/>
        </w:rPr>
        <w:t>（模板）</w:t>
      </w:r>
      <w:bookmarkEnd w:id="1"/>
    </w:p>
    <w:p w14:paraId="4FF6AB5B">
      <w:pPr>
        <w:pStyle w:val="3"/>
        <w:spacing w:line="460" w:lineRule="exact"/>
        <w:ind w:left="0" w:right="570" w:firstLine="560" w:firstLineChars="200"/>
        <w:rPr>
          <w:rFonts w:ascii="仿宋_GB2312" w:hAnsi="仿宋_GB2312" w:eastAsia="仿宋_GB2312" w:cs="仿宋_GB2312"/>
          <w:sz w:val="28"/>
          <w:szCs w:val="28"/>
          <w:lang w:val="zh-TW" w:bidi="zh-TW"/>
        </w:rPr>
      </w:pPr>
    </w:p>
    <w:p w14:paraId="09F2DEFE">
      <w:pPr>
        <w:pStyle w:val="9"/>
        <w:spacing w:line="460" w:lineRule="exact"/>
        <w:ind w:firstLine="560" w:firstLineChars="200"/>
        <w:rPr>
          <w:rFonts w:ascii="仿宋_GB2312" w:hAnsi="仿宋_GB2312" w:eastAsia="仿宋_GB2312" w:cs="仿宋_GB2312"/>
          <w:color w:val="auto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一、参与招商报名的企业，应在招商公告规定的报名截止日前，向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招商方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缴纳意向金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x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万元（人民币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x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万元整），并持缴纳意向金的凭证与其他报名材料一并申请报名。未缴纳或逾期缴纳意向金的，视为无效报名，不可参与招商准入流程。</w:t>
      </w:r>
    </w:p>
    <w:p w14:paraId="485F5722">
      <w:pPr>
        <w:pStyle w:val="9"/>
        <w:spacing w:line="460" w:lineRule="exact"/>
        <w:ind w:firstLine="560" w:firstLineChars="200"/>
        <w:rPr>
          <w:rFonts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二、意向金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可通过现金、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银</w:t>
      </w:r>
      <w:bookmarkStart w:id="3" w:name="_GoBack"/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行转账（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账户名称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：温州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市浙瓯模具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有限公司；开户行：中国农业银行股份有限公司温州市中支行；账号：19205101040098989)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、现场POS刷卡等方式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缴纳至招商方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上述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指定账户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，不支持支付宝或微信转账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。</w:t>
      </w:r>
    </w:p>
    <w:p w14:paraId="662B65C9">
      <w:pPr>
        <w:spacing w:line="460" w:lineRule="exact"/>
        <w:ind w:firstLine="560" w:firstLineChars="200"/>
        <w:rPr>
          <w:rFonts w:hint="eastAsia" w:ascii="黑体" w:hAnsi="黑体" w:eastAsia="黑体" w:cs="黑体"/>
          <w:sz w:val="28"/>
          <w:szCs w:val="28"/>
          <w:lang w:val="zh-TW" w:bidi="zh-TW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三、</w:t>
      </w:r>
      <w:r>
        <w:rPr>
          <w:rFonts w:hint="eastAsia" w:ascii="仿宋_GB2312" w:hAnsi="仿宋_GB2312" w:eastAsia="仿宋_GB2312" w:cs="仿宋_GB2312"/>
          <w:sz w:val="28"/>
          <w:szCs w:val="28"/>
          <w:lang w:val="zh-TW" w:bidi="zh-TW"/>
        </w:rPr>
        <w:t>如通过资格审核</w:t>
      </w:r>
      <w:bookmarkStart w:id="2" w:name="OLE_LINK5"/>
      <w:r>
        <w:rPr>
          <w:rFonts w:hint="eastAsia" w:eastAsia="仿宋_GB2312" w:cs="Calibri"/>
          <w:sz w:val="28"/>
          <w:szCs w:val="28"/>
          <w:lang w:val="zh-TW" w:bidi="zh-TW"/>
        </w:rPr>
        <w:t>并签订《租赁合同》/《买卖合同》</w:t>
      </w:r>
      <w:bookmarkEnd w:id="2"/>
      <w:r>
        <w:rPr>
          <w:rFonts w:hint="eastAsia" w:eastAsia="仿宋_GB2312" w:cs="Calibri"/>
          <w:sz w:val="28"/>
          <w:szCs w:val="28"/>
          <w:lang w:val="zh-TW" w:bidi="zh-TW"/>
        </w:rPr>
        <w:t>后</w:t>
      </w:r>
      <w:r>
        <w:rPr>
          <w:rFonts w:hint="eastAsia" w:ascii="仿宋_GB2312" w:hAnsi="仿宋_GB2312" w:eastAsia="仿宋_GB2312" w:cs="仿宋_GB2312"/>
          <w:sz w:val="28"/>
          <w:szCs w:val="28"/>
          <w:lang w:val="zh-TW" w:bidi="zh-TW"/>
        </w:rPr>
        <w:t>意向金自动转为履约保证金；如放弃、或在签订《租赁合同》</w:t>
      </w:r>
      <w:r>
        <w:rPr>
          <w:rFonts w:hint="eastAsia" w:ascii="仿宋_GB2312" w:hAnsi="仿宋_GB2312" w:eastAsia="仿宋_GB2312" w:cs="仿宋_GB2312"/>
          <w:sz w:val="28"/>
          <w:szCs w:val="28"/>
          <w:lang w:bidi="zh-TW"/>
        </w:rPr>
        <w:t>/</w:t>
      </w:r>
      <w:r>
        <w:rPr>
          <w:rFonts w:hint="eastAsia" w:ascii="仿宋_GB2312" w:hAnsi="仿宋_GB2312" w:eastAsia="仿宋_GB2312" w:cs="仿宋_GB2312"/>
          <w:sz w:val="28"/>
          <w:szCs w:val="28"/>
          <w:lang w:val="zh-TW" w:bidi="zh-TW"/>
        </w:rPr>
        <w:t>《</w:t>
      </w:r>
      <w:r>
        <w:rPr>
          <w:rFonts w:hint="eastAsia" w:ascii="仿宋_GB2312" w:hAnsi="仿宋_GB2312" w:eastAsia="仿宋_GB2312" w:cs="仿宋_GB2312"/>
          <w:sz w:val="28"/>
          <w:szCs w:val="28"/>
          <w:lang w:bidi="zh-TW"/>
        </w:rPr>
        <w:t>买卖合同》</w:t>
      </w:r>
      <w:r>
        <w:rPr>
          <w:rFonts w:hint="eastAsia" w:ascii="仿宋_GB2312" w:hAnsi="仿宋_GB2312" w:eastAsia="仿宋_GB2312" w:cs="仿宋_GB2312"/>
          <w:sz w:val="28"/>
          <w:szCs w:val="28"/>
          <w:lang w:val="zh-TW" w:bidi="zh-TW"/>
        </w:rPr>
        <w:t>时向招商</w:t>
      </w:r>
      <w:r>
        <w:rPr>
          <w:rFonts w:hint="eastAsia" w:ascii="仿宋_GB2312" w:hAnsi="仿宋_GB2312" w:eastAsia="仿宋_GB2312" w:cs="仿宋_GB2312"/>
          <w:sz w:val="28"/>
          <w:szCs w:val="28"/>
          <w:lang w:bidi="zh-TW"/>
        </w:rPr>
        <w:t>方</w:t>
      </w:r>
      <w:r>
        <w:rPr>
          <w:rFonts w:hint="eastAsia" w:ascii="仿宋_GB2312" w:hAnsi="仿宋_GB2312" w:eastAsia="仿宋_GB2312" w:cs="仿宋_GB2312"/>
          <w:sz w:val="28"/>
          <w:szCs w:val="28"/>
          <w:lang w:val="zh-TW" w:bidi="zh-TW"/>
        </w:rPr>
        <w:t>提出附加条件、未按期签署《租赁合同》</w:t>
      </w:r>
      <w:r>
        <w:rPr>
          <w:rFonts w:hint="eastAsia" w:ascii="仿宋_GB2312" w:hAnsi="仿宋_GB2312" w:eastAsia="仿宋_GB2312" w:cs="仿宋_GB2312"/>
          <w:sz w:val="28"/>
          <w:szCs w:val="28"/>
          <w:lang w:bidi="zh-TW"/>
        </w:rPr>
        <w:t>/</w:t>
      </w:r>
      <w:r>
        <w:rPr>
          <w:rFonts w:hint="eastAsia" w:ascii="仿宋_GB2312" w:hAnsi="仿宋_GB2312" w:eastAsia="仿宋_GB2312" w:cs="仿宋_GB2312"/>
          <w:sz w:val="28"/>
          <w:szCs w:val="28"/>
          <w:lang w:val="zh-TW" w:bidi="zh-TW"/>
        </w:rPr>
        <w:t>《</w:t>
      </w:r>
      <w:r>
        <w:rPr>
          <w:rFonts w:hint="eastAsia" w:ascii="仿宋_GB2312" w:hAnsi="仿宋_GB2312" w:eastAsia="仿宋_GB2312" w:cs="仿宋_GB2312"/>
          <w:sz w:val="28"/>
          <w:szCs w:val="28"/>
          <w:lang w:bidi="zh-TW"/>
        </w:rPr>
        <w:t>买卖合同》</w:t>
      </w:r>
      <w:r>
        <w:rPr>
          <w:rFonts w:hint="eastAsia" w:ascii="仿宋_GB2312" w:hAnsi="仿宋_GB2312" w:eastAsia="仿宋_GB2312" w:cs="仿宋_GB2312"/>
          <w:sz w:val="28"/>
          <w:szCs w:val="28"/>
          <w:lang w:val="zh-TW" w:bidi="zh-TW"/>
        </w:rPr>
        <w:t>等文本的，取消其入园资格，意向金作为违约金不予退还；如未通过资格审核，意向金将于招商结果公示后10个工作日内无息退还。</w:t>
      </w:r>
    </w:p>
    <w:p w14:paraId="7E34D1E8">
      <w:pPr>
        <w:pStyle w:val="9"/>
        <w:spacing w:line="460" w:lineRule="exact"/>
        <w:ind w:firstLine="560" w:firstLineChars="200"/>
        <w:rPr>
          <w:rFonts w:ascii="仿宋_GB2312" w:hAnsi="仿宋_GB2312" w:eastAsia="仿宋_GB2312" w:cs="仿宋_GB2312"/>
          <w:color w:val="auto"/>
          <w:sz w:val="28"/>
          <w:szCs w:val="28"/>
          <w:lang w:eastAsia="zh-CN"/>
        </w:rPr>
      </w:pPr>
      <w:r>
        <w:rPr>
          <w:rFonts w:ascii="仿宋_GB2312" w:hAnsi="仿宋_GB2312" w:eastAsia="仿宋_GB2312" w:cs="仿宋_GB2312"/>
          <w:color w:val="auto"/>
          <w:sz w:val="28"/>
          <w:szCs w:val="28"/>
          <w:lang w:eastAsia="zh-CN"/>
        </w:rPr>
        <w:t>四、本约定书一式</w:t>
      </w:r>
      <w:r>
        <w:rPr>
          <w:rFonts w:ascii="仿宋_GB2312" w:hAnsi="仿宋_GB2312" w:eastAsia="仿宋_GB2312" w:cs="仿宋_GB2312"/>
          <w:color w:val="auto"/>
          <w:sz w:val="28"/>
          <w:szCs w:val="28"/>
          <w:lang w:val="en-US" w:eastAsia="zh-CN"/>
        </w:rPr>
        <w:t>贰</w:t>
      </w:r>
      <w:r>
        <w:rPr>
          <w:rFonts w:ascii="仿宋_GB2312" w:hAnsi="仿宋_GB2312" w:eastAsia="仿宋_GB2312" w:cs="仿宋_GB2312"/>
          <w:color w:val="auto"/>
          <w:sz w:val="28"/>
          <w:szCs w:val="28"/>
          <w:lang w:eastAsia="zh-CN"/>
        </w:rPr>
        <w:t>份,双方各执</w:t>
      </w:r>
      <w:r>
        <w:rPr>
          <w:rFonts w:ascii="仿宋_GB2312" w:hAnsi="仿宋_GB2312" w:eastAsia="仿宋_GB2312" w:cs="仿宋_GB2312"/>
          <w:color w:val="auto"/>
          <w:sz w:val="28"/>
          <w:szCs w:val="28"/>
          <w:lang w:val="en-US" w:eastAsia="zh-CN"/>
        </w:rPr>
        <w:t>壹</w:t>
      </w:r>
      <w:r>
        <w:rPr>
          <w:rFonts w:ascii="仿宋_GB2312" w:hAnsi="仿宋_GB2312" w:eastAsia="仿宋_GB2312" w:cs="仿宋_GB2312"/>
          <w:color w:val="auto"/>
          <w:sz w:val="28"/>
          <w:szCs w:val="28"/>
          <w:lang w:eastAsia="zh-CN"/>
        </w:rPr>
        <w:t>份,具有同等法律效力,自双方签署之日即生效。</w:t>
      </w:r>
    </w:p>
    <w:p w14:paraId="6950AFE9">
      <w:pPr>
        <w:pStyle w:val="4"/>
        <w:spacing w:line="460" w:lineRule="exact"/>
        <w:ind w:firstLine="280"/>
        <w:rPr>
          <w:rFonts w:ascii="仿宋_GB2312" w:hAnsi="仿宋_GB2312" w:eastAsia="仿宋_GB2312" w:cs="仿宋_GB2312"/>
          <w:sz w:val="28"/>
          <w:szCs w:val="28"/>
          <w:lang w:val="zh-TW" w:bidi="zh-TW"/>
        </w:rPr>
      </w:pPr>
    </w:p>
    <w:p w14:paraId="4BD43ECC">
      <w:pPr>
        <w:pStyle w:val="4"/>
        <w:spacing w:line="460" w:lineRule="exact"/>
        <w:ind w:left="0" w:firstLine="0" w:firstLineChars="0"/>
        <w:rPr>
          <w:rFonts w:ascii="仿宋_GB2312" w:hAnsi="仿宋_GB2312" w:eastAsia="仿宋_GB2312" w:cs="仿宋_GB2312"/>
          <w:sz w:val="28"/>
          <w:szCs w:val="28"/>
          <w:lang w:val="zh-TW" w:eastAsia="zh-TW" w:bidi="zh-TW"/>
        </w:rPr>
      </w:pPr>
      <w:r>
        <w:rPr>
          <w:rFonts w:ascii="仿宋_GB2312" w:hAnsi="仿宋_GB2312" w:eastAsia="仿宋_GB2312" w:cs="仿宋_GB2312"/>
          <w:sz w:val="28"/>
          <w:szCs w:val="28"/>
          <w:lang w:val="zh-TW" w:eastAsia="zh-TW" w:bidi="zh-TW"/>
        </w:rPr>
        <w:t>招商方：</w:t>
      </w:r>
      <w:r>
        <w:rPr>
          <w:rFonts w:ascii="仿宋_GB2312" w:hAnsi="仿宋_GB2312" w:eastAsia="仿宋_GB2312" w:cs="仿宋_GB2312"/>
          <w:sz w:val="28"/>
          <w:szCs w:val="28"/>
        </w:rPr>
        <w:t>温州市浙瓯模具有限公司</w:t>
      </w:r>
      <w:r>
        <w:rPr>
          <w:rFonts w:ascii="仿宋_GB2312" w:hAnsi="仿宋_GB2312" w:eastAsia="仿宋_GB2312" w:cs="仿宋_GB2312"/>
          <w:sz w:val="28"/>
          <w:szCs w:val="28"/>
          <w:lang w:val="zh-TW" w:eastAsia="zh-TW" w:bidi="zh-TW"/>
        </w:rPr>
        <w:t xml:space="preserve">      </w:t>
      </w:r>
      <w:r>
        <w:rPr>
          <w:rFonts w:ascii="仿宋_GB2312" w:hAnsi="仿宋_GB2312" w:eastAsia="仿宋_GB2312" w:cs="仿宋_GB2312"/>
          <w:sz w:val="28"/>
          <w:szCs w:val="28"/>
          <w:lang w:bidi="zh-TW"/>
        </w:rPr>
        <w:t xml:space="preserve"> </w:t>
      </w:r>
      <w:r>
        <w:rPr>
          <w:rFonts w:ascii="仿宋_GB2312" w:hAnsi="仿宋_GB2312" w:eastAsia="仿宋_GB2312" w:cs="仿宋_GB2312"/>
          <w:sz w:val="28"/>
          <w:szCs w:val="28"/>
          <w:lang w:val="zh-TW" w:eastAsia="zh-TW" w:bidi="zh-TW"/>
        </w:rPr>
        <w:t>承</w:t>
      </w:r>
      <w:bookmarkEnd w:id="3"/>
      <w:r>
        <w:rPr>
          <w:rFonts w:ascii="仿宋_GB2312" w:hAnsi="仿宋_GB2312" w:eastAsia="仿宋_GB2312" w:cs="仿宋_GB2312"/>
          <w:sz w:val="28"/>
          <w:szCs w:val="28"/>
          <w:lang w:val="zh-TW" w:eastAsia="zh-TW" w:bidi="zh-TW"/>
        </w:rPr>
        <w:t>招方：</w:t>
      </w:r>
    </w:p>
    <w:p w14:paraId="6C578FAA">
      <w:pPr>
        <w:pStyle w:val="5"/>
        <w:spacing w:line="460" w:lineRule="exact"/>
        <w:ind w:firstLine="440"/>
        <w:rPr>
          <w:rFonts w:ascii="仿宋_GB2312" w:hAnsi="仿宋_GB2312" w:eastAsia="仿宋_GB2312" w:cs="仿宋_GB2312"/>
          <w:sz w:val="28"/>
          <w:szCs w:val="28"/>
          <w:lang w:val="zh-TW" w:eastAsia="zh-TW" w:bidi="zh-TW"/>
        </w:rPr>
      </w:pPr>
    </w:p>
    <w:p w14:paraId="784FC05D">
      <w:pPr>
        <w:pStyle w:val="5"/>
        <w:spacing w:line="460" w:lineRule="exact"/>
        <w:ind w:left="0" w:leftChars="0"/>
        <w:rPr>
          <w:rFonts w:ascii="仿宋_GB2312" w:hAnsi="仿宋_GB2312" w:eastAsia="仿宋_GB2312" w:cs="仿宋_GB2312"/>
          <w:sz w:val="28"/>
          <w:szCs w:val="28"/>
          <w:lang w:val="zh-TW" w:eastAsia="zh-TW" w:bidi="zh-TW"/>
        </w:rPr>
      </w:pPr>
    </w:p>
    <w:p w14:paraId="1016788E">
      <w:pPr>
        <w:pStyle w:val="5"/>
        <w:spacing w:line="460" w:lineRule="exact"/>
        <w:ind w:firstLine="3920" w:firstLineChars="1400"/>
        <w:rPr>
          <w:rFonts w:ascii="仿宋_GB2312" w:hAnsi="仿宋_GB2312" w:eastAsia="仿宋_GB2312" w:cs="仿宋_GB2312"/>
          <w:sz w:val="28"/>
          <w:szCs w:val="28"/>
          <w:lang w:val="zh-TW" w:eastAsia="zh-TW" w:bidi="zh-TW"/>
        </w:rPr>
      </w:pPr>
      <w:r>
        <w:rPr>
          <w:rFonts w:ascii="仿宋_GB2312" w:hAnsi="仿宋_GB2312" w:eastAsia="仿宋_GB2312" w:cs="仿宋_GB2312"/>
          <w:sz w:val="28"/>
          <w:szCs w:val="28"/>
          <w:lang w:val="zh-TW" w:eastAsia="zh-TW" w:bidi="zh-TW"/>
        </w:rPr>
        <w:t>年</w:t>
      </w:r>
      <w:r>
        <w:rPr>
          <w:rFonts w:ascii="仿宋_GB2312" w:hAnsi="仿宋_GB2312" w:eastAsia="仿宋_GB2312" w:cs="仿宋_GB2312"/>
          <w:sz w:val="28"/>
          <w:szCs w:val="28"/>
          <w:lang w:eastAsia="zh-TW" w:bidi="zh-TW"/>
        </w:rPr>
        <w:t xml:space="preserve"> </w:t>
      </w:r>
      <w:r>
        <w:rPr>
          <w:rFonts w:ascii="仿宋_GB2312" w:hAnsi="仿宋_GB2312" w:eastAsia="仿宋_GB2312" w:cs="仿宋_GB2312"/>
          <w:sz w:val="28"/>
          <w:szCs w:val="28"/>
          <w:lang w:val="zh-TW" w:eastAsia="zh-TW" w:bidi="zh-TW"/>
        </w:rPr>
        <w:t xml:space="preserve"> </w:t>
      </w:r>
      <w:r>
        <w:rPr>
          <w:rFonts w:ascii="仿宋_GB2312" w:hAnsi="仿宋_GB2312" w:eastAsia="仿宋_GB2312" w:cs="仿宋_GB2312"/>
          <w:sz w:val="28"/>
          <w:szCs w:val="28"/>
          <w:lang w:eastAsia="zh-TW" w:bidi="zh-TW"/>
        </w:rPr>
        <w:t xml:space="preserve">  </w:t>
      </w:r>
      <w:r>
        <w:rPr>
          <w:rFonts w:ascii="仿宋_GB2312" w:hAnsi="仿宋_GB2312" w:eastAsia="仿宋_GB2312" w:cs="仿宋_GB2312"/>
          <w:sz w:val="28"/>
          <w:szCs w:val="28"/>
          <w:lang w:val="zh-TW" w:eastAsia="zh-TW" w:bidi="zh-TW"/>
        </w:rPr>
        <w:t xml:space="preserve"> 月 </w:t>
      </w:r>
      <w:r>
        <w:rPr>
          <w:rFonts w:ascii="仿宋_GB2312" w:hAnsi="仿宋_GB2312" w:eastAsia="仿宋_GB2312" w:cs="仿宋_GB2312"/>
          <w:sz w:val="28"/>
          <w:szCs w:val="28"/>
          <w:lang w:eastAsia="zh-TW" w:bidi="zh-TW"/>
        </w:rPr>
        <w:t xml:space="preserve">   </w:t>
      </w:r>
      <w:r>
        <w:rPr>
          <w:rFonts w:ascii="仿宋_GB2312" w:hAnsi="仿宋_GB2312" w:eastAsia="仿宋_GB2312" w:cs="仿宋_GB2312"/>
          <w:sz w:val="28"/>
          <w:szCs w:val="28"/>
          <w:lang w:val="zh-TW" w:eastAsia="zh-TW" w:bidi="zh-TW"/>
        </w:rPr>
        <w:t xml:space="preserve"> 日</w:t>
      </w:r>
    </w:p>
    <w:p w14:paraId="5398C29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文星简小标宋">
    <w:altName w:val="宋体"/>
    <w:panose1 w:val="00000000000000000000"/>
    <w:charset w:val="86"/>
    <w:family w:val="modern"/>
    <w:pitch w:val="default"/>
    <w:sig w:usb0="00000000" w:usb1="00000000" w:usb2="00000000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D358F4"/>
    <w:rsid w:val="1CD358F4"/>
    <w:rsid w:val="6C496EB7"/>
    <w:rsid w:val="75F51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qFormat="1" w:uiPriority="39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qFormat/>
    <w:uiPriority w:val="0"/>
    <w:pPr>
      <w:widowControl w:val="0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Body Text"/>
    <w:next w:val="4"/>
    <w:qFormat/>
    <w:uiPriority w:val="1"/>
    <w:pPr>
      <w:widowControl w:val="0"/>
      <w:ind w:left="155"/>
      <w:jc w:val="both"/>
    </w:pPr>
    <w:rPr>
      <w:rFonts w:ascii="宋体" w:hAnsi="宋体" w:eastAsia="宋体" w:cs="宋体"/>
      <w:kern w:val="2"/>
      <w:sz w:val="22"/>
      <w:szCs w:val="22"/>
      <w:lang w:val="en-US" w:eastAsia="zh-CN" w:bidi="ar-SA"/>
    </w:rPr>
  </w:style>
  <w:style w:type="paragraph" w:styleId="4">
    <w:name w:val="Body Text First Indent"/>
    <w:next w:val="5"/>
    <w:qFormat/>
    <w:uiPriority w:val="0"/>
    <w:pPr>
      <w:widowControl w:val="0"/>
      <w:ind w:left="155" w:firstLine="420" w:firstLineChars="100"/>
      <w:jc w:val="both"/>
    </w:pPr>
    <w:rPr>
      <w:rFonts w:ascii="Calibri" w:hAnsi="Calibri" w:eastAsia="文星简小标宋" w:cs="宋体"/>
      <w:kern w:val="2"/>
      <w:sz w:val="44"/>
      <w:lang w:val="en-US" w:eastAsia="zh-CN" w:bidi="ar-SA"/>
    </w:rPr>
  </w:style>
  <w:style w:type="paragraph" w:styleId="5">
    <w:name w:val="toc 6"/>
    <w:next w:val="1"/>
    <w:unhideWhenUsed/>
    <w:qFormat/>
    <w:uiPriority w:val="39"/>
    <w:pPr>
      <w:widowControl w:val="0"/>
      <w:ind w:left="2100" w:leftChars="100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8">
    <w:name w:val="标题 1 Char"/>
    <w:qFormat/>
    <w:uiPriority w:val="9"/>
    <w:rPr>
      <w:rFonts w:ascii="Calibri" w:hAnsi="Calibri" w:eastAsia="宋体" w:cs="Times New Roman"/>
      <w:b/>
      <w:bCs/>
      <w:kern w:val="44"/>
      <w:sz w:val="44"/>
      <w:szCs w:val="44"/>
      <w:lang w:val="en-US" w:eastAsia="zh-CN" w:bidi="ar-SA"/>
    </w:rPr>
  </w:style>
  <w:style w:type="paragraph" w:customStyle="1" w:styleId="9">
    <w:name w:val="Body text|1"/>
    <w:qFormat/>
    <w:uiPriority w:val="0"/>
    <w:pPr>
      <w:widowControl w:val="0"/>
      <w:spacing w:line="434" w:lineRule="auto"/>
      <w:ind w:firstLine="400"/>
    </w:pPr>
    <w:rPr>
      <w:rFonts w:ascii="宋体" w:hAnsi="宋体" w:eastAsia="宋体" w:cs="宋体"/>
      <w:color w:val="000000"/>
      <w:kern w:val="2"/>
      <w:sz w:val="24"/>
      <w:szCs w:val="24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419</Words>
  <Characters>439</Characters>
  <Lines>0</Lines>
  <Paragraphs>0</Paragraphs>
  <TotalTime>0</TotalTime>
  <ScaleCrop>false</ScaleCrop>
  <LinksUpToDate>false</LinksUpToDate>
  <CharactersWithSpaces>456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2025-11-06T02:59:00Z</dcterms:created>
  <dc:creator>阮林洁</dc:creator>
  <cp:lastModifiedBy>阮林洁</cp:lastModifiedBy>
  <dcterms:modified xsi:type="dcterms:W3CDTF">2025-11-06T08:15:14Z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C5788F5B14F74A959056064D30B7FE09_11</vt:lpwstr>
  </property>
  <property fmtid="{D5CDD505-2E9C-101B-9397-08002B2CF9AE}" pid="4" name="KSOTemplateDocerSaveRecord">
    <vt:lpwstr>eyJoZGlkIjoiZTQ0OWRjN2RkYjVmMjU5OTUyNTJlYzJkMDBkM2ZjZGIiLCJ1c2VySWQiOiIxOTc3MjI4NTYifQ==</vt:lpwstr>
  </property>
</Properties>
</file>